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numPr>
          <w:ilvl w:val="0"/>
          <w:numId w:val="0"/>
        </w:numPr>
        <w:spacing w:lineRule="auto" w:line="240" w:beforeAutospacing="1" w:afterAutospacing="1"/>
        <w:ind w:hanging="0" w:start="4956" w:end="0"/>
        <w:contextualSpacing/>
        <w:jc w:val="center"/>
        <w:outlineLvl w:val="0"/>
        <w:rPr>
          <w:highlight w:val="none"/>
          <w:shd w:fill="auto" w:val="clear"/>
        </w:rPr>
      </w:pPr>
      <w:r>
        <w:rPr>
          <w:rFonts w:ascii="PT Astra Serif" w:hAnsi="PT Astra Serif"/>
          <w:sz w:val="28"/>
          <w:shd w:fill="auto" w:val="clear"/>
        </w:rPr>
        <w:t>ПРИЛОЖЕНИЕ № 5</w:t>
      </w:r>
    </w:p>
    <w:p>
      <w:pPr>
        <w:pStyle w:val="Normal"/>
        <w:widowControl/>
        <w:spacing w:lineRule="auto" w:line="240" w:beforeAutospacing="1" w:afterAutospacing="1"/>
        <w:ind w:hanging="0" w:start="4956" w:end="0"/>
        <w:contextualSpacing/>
        <w:jc w:val="center"/>
        <w:rPr>
          <w:highlight w:val="none"/>
          <w:shd w:fill="auto" w:val="clear"/>
        </w:rPr>
      </w:pPr>
      <w:r>
        <w:rPr>
          <w:rFonts w:ascii="PT Astra Serif" w:hAnsi="PT Astra Serif"/>
          <w:sz w:val="28"/>
          <w:shd w:fill="auto" w:val="clear"/>
        </w:rPr>
        <w:t>к Программе комплексного развития</w:t>
      </w:r>
    </w:p>
    <w:p>
      <w:pPr>
        <w:pStyle w:val="Normal"/>
        <w:widowControl/>
        <w:spacing w:lineRule="auto" w:line="240" w:beforeAutospacing="1" w:afterAutospacing="1"/>
        <w:ind w:hanging="0" w:start="4956" w:end="0"/>
        <w:contextualSpacing/>
        <w:jc w:val="center"/>
        <w:rPr>
          <w:highlight w:val="none"/>
          <w:shd w:fill="auto" w:val="clear"/>
        </w:rPr>
      </w:pPr>
      <w:r>
        <w:rPr>
          <w:rFonts w:ascii="PT Astra Serif" w:hAnsi="PT Astra Serif"/>
          <w:sz w:val="28"/>
          <w:shd w:fill="auto" w:val="clear"/>
        </w:rPr>
        <w:t>социальной инфраструктуры</w:t>
      </w:r>
    </w:p>
    <w:p>
      <w:pPr>
        <w:pStyle w:val="Normal"/>
        <w:widowControl/>
        <w:spacing w:lineRule="auto" w:line="240" w:beforeAutospacing="1" w:afterAutospacing="1"/>
        <w:ind w:hanging="0" w:start="4956" w:end="0"/>
        <w:contextualSpacing/>
        <w:jc w:val="center"/>
        <w:rPr>
          <w:highlight w:val="none"/>
          <w:shd w:fill="auto" w:val="clear"/>
        </w:rPr>
      </w:pPr>
      <w:r>
        <w:rPr>
          <w:rFonts w:ascii="PT Astra Serif" w:hAnsi="PT Astra Serif"/>
          <w:sz w:val="28"/>
          <w:shd w:fill="auto" w:val="clear"/>
        </w:rPr>
        <w:t>муниципального образования</w:t>
      </w:r>
    </w:p>
    <w:p>
      <w:pPr>
        <w:pStyle w:val="Normal"/>
        <w:widowControl/>
        <w:spacing w:lineRule="auto" w:line="240" w:beforeAutospacing="1" w:afterAutospacing="1"/>
        <w:ind w:hanging="0" w:start="4956" w:end="0"/>
        <w:contextualSpacing/>
        <w:jc w:val="center"/>
        <w:rPr>
          <w:highlight w:val="none"/>
          <w:shd w:fill="auto" w:val="clear"/>
        </w:rPr>
      </w:pPr>
      <w:r>
        <w:rPr>
          <w:rFonts w:ascii="PT Astra Serif" w:hAnsi="PT Astra Serif"/>
          <w:sz w:val="28"/>
          <w:shd w:fill="auto" w:val="clear"/>
        </w:rPr>
        <w:t>город Краснодар</w:t>
      </w:r>
    </w:p>
    <w:p>
      <w:pPr>
        <w:pStyle w:val="Normal"/>
        <w:widowControl/>
        <w:spacing w:lineRule="auto" w:line="240" w:beforeAutospacing="1" w:afterAutospacing="1"/>
        <w:contextualSpacing/>
        <w:rPr>
          <w:rFonts w:ascii="PT Astra Serif" w:hAnsi="PT Astra Serif"/>
          <w:sz w:val="28"/>
          <w:highlight w:val="none"/>
          <w:shd w:fill="auto" w:val="clear"/>
        </w:rPr>
      </w:pPr>
      <w:r>
        <w:rPr>
          <w:rFonts w:ascii="PT Astra Serif" w:hAnsi="PT Astra Serif"/>
          <w:sz w:val="28"/>
          <w:shd w:fill="auto" w:val="clear"/>
        </w:rPr>
      </w:r>
    </w:p>
    <w:p>
      <w:pPr>
        <w:pStyle w:val="Normal"/>
        <w:widowControl/>
        <w:spacing w:lineRule="auto" w:line="240" w:beforeAutospacing="1" w:afterAutospacing="1"/>
        <w:contextualSpacing/>
        <w:jc w:val="center"/>
        <w:rPr>
          <w:rFonts w:ascii="PT Astra Serif" w:hAnsi="PT Astra Serif"/>
          <w:sz w:val="24"/>
          <w:highlight w:val="none"/>
          <w:shd w:fill="auto" w:val="clear"/>
        </w:rPr>
      </w:pPr>
      <w:r>
        <w:rPr>
          <w:rFonts w:ascii="PT Astra Serif" w:hAnsi="PT Astra Serif"/>
          <w:sz w:val="24"/>
          <w:shd w:fill="auto" w:val="clear"/>
        </w:rPr>
      </w:r>
    </w:p>
    <w:p>
      <w:pPr>
        <w:pStyle w:val="Normal"/>
        <w:widowControl/>
        <w:spacing w:lineRule="auto" w:line="240" w:beforeAutospacing="1" w:afterAutospacing="1"/>
        <w:contextualSpacing/>
        <w:jc w:val="center"/>
        <w:rPr>
          <w:rFonts w:ascii="PT Astra Serif" w:hAnsi="PT Astra Serif"/>
          <w:sz w:val="24"/>
          <w:highlight w:val="none"/>
          <w:shd w:fill="auto" w:val="clear"/>
        </w:rPr>
      </w:pPr>
      <w:r>
        <w:rPr>
          <w:rFonts w:ascii="PT Astra Serif" w:hAnsi="PT Astra Serif"/>
          <w:sz w:val="24"/>
          <w:shd w:fill="auto" w:val="clear"/>
        </w:rPr>
      </w:r>
    </w:p>
    <w:p>
      <w:pPr>
        <w:pStyle w:val="Normal"/>
        <w:widowControl/>
        <w:spacing w:lineRule="auto" w:line="240" w:beforeAutospacing="1" w:afterAutospacing="1"/>
        <w:contextualSpacing/>
        <w:jc w:val="center"/>
        <w:rPr>
          <w:highlight w:val="none"/>
          <w:shd w:fill="auto" w:val="clear"/>
        </w:rPr>
      </w:pPr>
      <w:r>
        <w:rPr>
          <w:rFonts w:ascii="PT Astra Serif" w:hAnsi="PT Astra Serif"/>
          <w:b/>
          <w:sz w:val="28"/>
          <w:shd w:fill="auto" w:val="clear"/>
        </w:rPr>
        <w:t xml:space="preserve">ПОКАЗАТЕЛИ СООТВЕТСТВИЯ </w:t>
      </w:r>
    </w:p>
    <w:p>
      <w:pPr>
        <w:pStyle w:val="Normal"/>
        <w:widowControl/>
        <w:spacing w:lineRule="auto" w:line="240" w:beforeAutospacing="1" w:afterAutospacing="1"/>
        <w:contextualSpacing/>
        <w:jc w:val="center"/>
        <w:rPr>
          <w:highlight w:val="none"/>
          <w:shd w:fill="auto" w:val="clear"/>
        </w:rPr>
      </w:pPr>
      <w:r>
        <w:rPr>
          <w:rFonts w:ascii="PT Astra Serif" w:hAnsi="PT Astra Serif"/>
          <w:b/>
          <w:sz w:val="28"/>
          <w:shd w:fill="auto" w:val="clear"/>
        </w:rPr>
        <w:t xml:space="preserve">уровня обеспеченности объектами социальной </w:t>
        <w:br/>
        <w:t xml:space="preserve">инфраструктуры нормативам градостроительного проектирования </w:t>
        <w:br/>
        <w:t>муниципального образования город Краснодар</w:t>
      </w:r>
    </w:p>
    <w:p>
      <w:pPr>
        <w:pStyle w:val="Normal"/>
        <w:widowControl/>
        <w:spacing w:lineRule="auto" w:line="240" w:beforeAutospacing="1" w:afterAutospacing="1"/>
        <w:contextualSpacing/>
        <w:rPr>
          <w:rFonts w:ascii="PT Astra Serif" w:hAnsi="PT Astra Serif"/>
          <w:sz w:val="24"/>
          <w:highlight w:val="none"/>
          <w:shd w:fill="auto" w:val="clear"/>
        </w:rPr>
      </w:pPr>
      <w:r>
        <w:rPr>
          <w:rFonts w:ascii="PT Astra Serif" w:hAnsi="PT Astra Serif"/>
          <w:sz w:val="24"/>
          <w:shd w:fill="auto" w:val="clear"/>
        </w:rPr>
      </w:r>
    </w:p>
    <w:p>
      <w:pPr>
        <w:pStyle w:val="Normal"/>
        <w:widowControl/>
        <w:spacing w:lineRule="auto" w:line="240" w:beforeAutospacing="1" w:afterAutospacing="1"/>
        <w:contextualSpacing/>
        <w:rPr>
          <w:rFonts w:ascii="PT Astra Serif" w:hAnsi="PT Astra Serif"/>
          <w:sz w:val="24"/>
          <w:highlight w:val="none"/>
          <w:shd w:fill="auto" w:val="clear"/>
        </w:rPr>
      </w:pPr>
      <w:r>
        <w:rPr>
          <w:rFonts w:ascii="PT Astra Serif" w:hAnsi="PT Astra Serif"/>
          <w:sz w:val="24"/>
          <w:shd w:fill="auto" w:val="clear"/>
        </w:rPr>
      </w:r>
    </w:p>
    <w:tbl>
      <w:tblPr>
        <w:tblStyle w:val="Style_1"/>
        <w:tblW w:w="9543" w:type="dxa"/>
        <w:jc w:val="start"/>
        <w:tblInd w:w="5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657"/>
        <w:gridCol w:w="2444"/>
        <w:gridCol w:w="851"/>
        <w:gridCol w:w="2445"/>
        <w:gridCol w:w="1099"/>
        <w:gridCol w:w="1196"/>
        <w:gridCol w:w="850"/>
      </w:tblGrid>
      <w:tr>
        <w:trPr>
          <w:trHeight w:val="605" w:hRule="atLeast"/>
        </w:trPr>
        <w:tc>
          <w:tcPr>
            <w:tcW w:w="65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№</w:t>
            </w:r>
          </w:p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Наименование нормируемого показателя, 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Единица</w:t>
            </w:r>
          </w:p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измерения</w:t>
            </w:r>
          </w:p>
        </w:tc>
        <w:tc>
          <w:tcPr>
            <w:tcW w:w="244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Норматив</w:t>
            </w:r>
          </w:p>
        </w:tc>
        <w:tc>
          <w:tcPr>
            <w:tcW w:w="314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 xml:space="preserve">Уровень обеспеченности </w:t>
              <w:br/>
              <w:t xml:space="preserve">объектами социальной </w:t>
              <w:br/>
              <w:t>инфраструктуры</w:t>
            </w:r>
          </w:p>
        </w:tc>
      </w:tr>
      <w:tr>
        <w:trPr>
          <w:trHeight w:val="610" w:hRule="atLeast"/>
        </w:trPr>
        <w:tc>
          <w:tcPr>
            <w:tcW w:w="65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</w:r>
          </w:p>
        </w:tc>
        <w:tc>
          <w:tcPr>
            <w:tcW w:w="2444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</w:r>
          </w:p>
        </w:tc>
        <w:tc>
          <w:tcPr>
            <w:tcW w:w="851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</w:r>
          </w:p>
        </w:tc>
        <w:tc>
          <w:tcPr>
            <w:tcW w:w="2445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</w:r>
          </w:p>
        </w:tc>
        <w:tc>
          <w:tcPr>
            <w:tcW w:w="1099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Текущее значение</w:t>
            </w:r>
          </w:p>
        </w:tc>
        <w:tc>
          <w:tcPr>
            <w:tcW w:w="1196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Нормативное значение</w:t>
            </w:r>
          </w:p>
        </w:tc>
        <w:tc>
          <w:tcPr>
            <w:tcW w:w="85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%</w:t>
            </w:r>
          </w:p>
        </w:tc>
      </w:tr>
      <w:tr>
        <w:trPr>
          <w:trHeight w:val="326" w:hRule="atLeast"/>
        </w:trPr>
        <w:tc>
          <w:tcPr>
            <w:tcW w:w="6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1.</w:t>
            </w:r>
          </w:p>
        </w:tc>
        <w:tc>
          <w:tcPr>
            <w:tcW w:w="8885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both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Учреждения образования</w:t>
            </w:r>
          </w:p>
        </w:tc>
      </w:tr>
      <w:tr>
        <w:trPr>
          <w:trHeight w:val="605" w:hRule="atLeast"/>
        </w:trPr>
        <w:tc>
          <w:tcPr>
            <w:tcW w:w="657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1.1.</w:t>
            </w:r>
          </w:p>
        </w:tc>
        <w:tc>
          <w:tcPr>
            <w:tcW w:w="2444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both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Дошкольные образовательные организации</w:t>
            </w:r>
          </w:p>
        </w:tc>
        <w:tc>
          <w:tcPr>
            <w:tcW w:w="851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мест</w:t>
            </w:r>
          </w:p>
        </w:tc>
        <w:tc>
          <w:tcPr>
            <w:tcW w:w="2445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104 места на 1000 жителей</w:t>
            </w:r>
          </w:p>
        </w:tc>
        <w:tc>
          <w:tcPr>
            <w:tcW w:w="109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16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 xml:space="preserve">69 </w:t>
            </w:r>
            <w:r>
              <w:rPr>
                <w:rFonts w:ascii="PT Astra Serif" w:hAnsi="PT Astra Serif"/>
                <w:color w:val="000000"/>
                <w:spacing w:val="-2"/>
                <w:kern w:val="0"/>
                <w:sz w:val="24"/>
                <w:szCs w:val="24"/>
                <w:shd w:fill="auto" w:val="clear"/>
              </w:rPr>
              <w:t>915</w:t>
            </w:r>
          </w:p>
        </w:tc>
        <w:tc>
          <w:tcPr>
            <w:tcW w:w="119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18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 xml:space="preserve">107 </w:t>
            </w:r>
            <w:r>
              <w:rPr>
                <w:rFonts w:ascii="PT Astra Serif" w:hAnsi="PT Astra Serif"/>
                <w:color w:val="000000"/>
                <w:spacing w:val="-2"/>
                <w:kern w:val="0"/>
                <w:sz w:val="24"/>
                <w:szCs w:val="24"/>
                <w:shd w:fill="auto" w:val="clear"/>
              </w:rPr>
              <w:t>711,5</w:t>
            </w:r>
          </w:p>
        </w:tc>
        <w:tc>
          <w:tcPr>
            <w:tcW w:w="85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14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-4"/>
                <w:kern w:val="0"/>
                <w:sz w:val="24"/>
                <w:szCs w:val="24"/>
                <w:shd w:fill="auto" w:val="clear"/>
              </w:rPr>
              <w:t>64,9</w:t>
            </w:r>
          </w:p>
        </w:tc>
      </w:tr>
      <w:tr>
        <w:trPr>
          <w:trHeight w:val="605" w:hRule="atLeast"/>
        </w:trPr>
        <w:tc>
          <w:tcPr>
            <w:tcW w:w="657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1.2.</w:t>
            </w:r>
          </w:p>
        </w:tc>
        <w:tc>
          <w:tcPr>
            <w:tcW w:w="2444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both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Общеобразовательные организации (дети от 7 до 17 лет)</w:t>
            </w:r>
          </w:p>
        </w:tc>
        <w:tc>
          <w:tcPr>
            <w:tcW w:w="851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мест</w:t>
            </w:r>
          </w:p>
        </w:tc>
        <w:tc>
          <w:tcPr>
            <w:tcW w:w="2445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126 мест на 1000 жителей</w:t>
            </w:r>
          </w:p>
        </w:tc>
        <w:tc>
          <w:tcPr>
            <w:tcW w:w="109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16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 xml:space="preserve">103 </w:t>
            </w:r>
            <w:r>
              <w:rPr>
                <w:rFonts w:ascii="PT Astra Serif" w:hAnsi="PT Astra Serif"/>
                <w:color w:val="000000"/>
                <w:spacing w:val="-5"/>
                <w:kern w:val="0"/>
                <w:sz w:val="24"/>
                <w:szCs w:val="24"/>
                <w:shd w:fill="auto" w:val="clear"/>
              </w:rPr>
              <w:t>067</w:t>
            </w:r>
          </w:p>
        </w:tc>
        <w:tc>
          <w:tcPr>
            <w:tcW w:w="119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18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 xml:space="preserve">207 </w:t>
            </w:r>
            <w:r>
              <w:rPr>
                <w:rFonts w:ascii="PT Astra Serif" w:hAnsi="PT Astra Serif"/>
                <w:color w:val="000000"/>
                <w:spacing w:val="-2"/>
                <w:kern w:val="0"/>
                <w:sz w:val="24"/>
                <w:szCs w:val="24"/>
                <w:shd w:fill="auto" w:val="clear"/>
              </w:rPr>
              <w:t>900,0</w:t>
            </w:r>
          </w:p>
        </w:tc>
        <w:tc>
          <w:tcPr>
            <w:tcW w:w="85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14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-4"/>
                <w:kern w:val="0"/>
                <w:sz w:val="24"/>
                <w:szCs w:val="24"/>
                <w:shd w:fill="auto" w:val="clear"/>
              </w:rPr>
              <w:t>50,1</w:t>
            </w:r>
          </w:p>
        </w:tc>
      </w:tr>
      <w:tr>
        <w:trPr>
          <w:trHeight w:val="326" w:hRule="atLeast"/>
        </w:trPr>
        <w:tc>
          <w:tcPr>
            <w:tcW w:w="657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2.</w:t>
            </w:r>
          </w:p>
        </w:tc>
        <w:tc>
          <w:tcPr>
            <w:tcW w:w="8885" w:type="dxa"/>
            <w:gridSpan w:val="6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start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Учреждения здравоохранения</w:t>
            </w:r>
          </w:p>
        </w:tc>
      </w:tr>
      <w:tr>
        <w:trPr>
          <w:trHeight w:val="312" w:hRule="atLeast"/>
        </w:trPr>
        <w:tc>
          <w:tcPr>
            <w:tcW w:w="657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2.1.</w:t>
            </w:r>
          </w:p>
        </w:tc>
        <w:tc>
          <w:tcPr>
            <w:tcW w:w="2444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start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Стационарные больницы для взрослых</w:t>
            </w:r>
          </w:p>
        </w:tc>
        <w:tc>
          <w:tcPr>
            <w:tcW w:w="851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коек</w:t>
            </w:r>
          </w:p>
        </w:tc>
        <w:tc>
          <w:tcPr>
            <w:tcW w:w="2445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13,47 койки на 1000 жителей</w:t>
            </w:r>
          </w:p>
        </w:tc>
        <w:tc>
          <w:tcPr>
            <w:tcW w:w="1099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11 913</w:t>
            </w:r>
          </w:p>
        </w:tc>
        <w:tc>
          <w:tcPr>
            <w:tcW w:w="1196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35 022,0</w:t>
            </w:r>
          </w:p>
        </w:tc>
        <w:tc>
          <w:tcPr>
            <w:tcW w:w="85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34,0</w:t>
            </w:r>
          </w:p>
        </w:tc>
      </w:tr>
      <w:tr>
        <w:trPr>
          <w:trHeight w:val="326" w:hRule="atLeast"/>
        </w:trPr>
        <w:tc>
          <w:tcPr>
            <w:tcW w:w="657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2.2.</w:t>
            </w:r>
          </w:p>
        </w:tc>
        <w:tc>
          <w:tcPr>
            <w:tcW w:w="2444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both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Амбулаторно-поликлиническая сеть без стационаров, для постоянного населения</w:t>
            </w:r>
          </w:p>
        </w:tc>
        <w:tc>
          <w:tcPr>
            <w:tcW w:w="851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посещений в смену</w:t>
            </w:r>
          </w:p>
        </w:tc>
        <w:tc>
          <w:tcPr>
            <w:tcW w:w="2445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18,0 посещений в смену на 1000 жителей</w:t>
            </w:r>
          </w:p>
        </w:tc>
        <w:tc>
          <w:tcPr>
            <w:tcW w:w="1099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29 129</w:t>
            </w:r>
          </w:p>
        </w:tc>
        <w:tc>
          <w:tcPr>
            <w:tcW w:w="1196" w:type="dxa"/>
            <w:tcBorders>
              <w:star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44 855,0</w:t>
            </w:r>
          </w:p>
        </w:tc>
        <w:tc>
          <w:tcPr>
            <w:tcW w:w="85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64,9</w:t>
            </w:r>
          </w:p>
        </w:tc>
      </w:tr>
      <w:tr>
        <w:trPr>
          <w:trHeight w:val="281" w:hRule="atLeast"/>
        </w:trPr>
        <w:tc>
          <w:tcPr>
            <w:tcW w:w="657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3.</w:t>
            </w:r>
          </w:p>
        </w:tc>
        <w:tc>
          <w:tcPr>
            <w:tcW w:w="8885" w:type="dxa"/>
            <w:gridSpan w:val="6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start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Спортивные сооружения</w:t>
            </w:r>
          </w:p>
        </w:tc>
      </w:tr>
      <w:tr>
        <w:trPr>
          <w:trHeight w:val="518" w:hRule="atLeast"/>
        </w:trPr>
        <w:tc>
          <w:tcPr>
            <w:tcW w:w="657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themeColor="dark1" w:val="000000"/>
                <w:spacing w:val="0"/>
                <w:kern w:val="0"/>
                <w:sz w:val="24"/>
                <w:szCs w:val="24"/>
                <w:shd w:fill="auto" w:val="clear"/>
              </w:rPr>
              <w:t>3.1.</w:t>
            </w:r>
          </w:p>
        </w:tc>
        <w:tc>
          <w:tcPr>
            <w:tcW w:w="2444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themeColor="dark1" w:val="000000"/>
                <w:spacing w:val="0"/>
                <w:kern w:val="0"/>
                <w:sz w:val="24"/>
                <w:szCs w:val="24"/>
                <w:shd w:fill="auto" w:val="clear"/>
              </w:rPr>
              <w:t>Уровень обеспечен-ности исходя из ЕПС (единовременной пропускной способности)</w:t>
            </w:r>
          </w:p>
        </w:tc>
        <w:tc>
          <w:tcPr>
            <w:tcW w:w="851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themeColor="dark1" w:val="000000"/>
                <w:spacing w:val="0"/>
                <w:kern w:val="0"/>
                <w:sz w:val="24"/>
                <w:szCs w:val="24"/>
                <w:shd w:fill="auto" w:val="clear"/>
              </w:rPr>
              <w:t>человек</w:t>
            </w:r>
          </w:p>
        </w:tc>
        <w:tc>
          <w:tcPr>
            <w:tcW w:w="2445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themeColor="dark1" w:val="000000"/>
                <w:spacing w:val="0"/>
                <w:kern w:val="0"/>
                <w:sz w:val="24"/>
                <w:szCs w:val="24"/>
                <w:shd w:fill="auto" w:val="clear"/>
              </w:rPr>
              <w:t>122 человека на 1000 жителей</w:t>
            </w:r>
          </w:p>
        </w:tc>
        <w:tc>
          <w:tcPr>
            <w:tcW w:w="109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88 743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160"/>
              <w:ind w:hanging="0" w:start="0" w:end="0"/>
              <w:jc w:val="center"/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</w:r>
          </w:p>
        </w:tc>
        <w:tc>
          <w:tcPr>
            <w:tcW w:w="119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141 884,0</w:t>
            </w:r>
          </w:p>
        </w:tc>
        <w:tc>
          <w:tcPr>
            <w:tcW w:w="85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62,5</w:t>
            </w:r>
          </w:p>
        </w:tc>
      </w:tr>
      <w:tr>
        <w:trPr>
          <w:trHeight w:val="326" w:hRule="atLeast"/>
        </w:trPr>
        <w:tc>
          <w:tcPr>
            <w:tcW w:w="657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4.</w:t>
            </w:r>
          </w:p>
        </w:tc>
        <w:tc>
          <w:tcPr>
            <w:tcW w:w="8885" w:type="dxa"/>
            <w:gridSpan w:val="6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start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Учреждения культуры</w:t>
            </w:r>
          </w:p>
        </w:tc>
      </w:tr>
      <w:tr>
        <w:trPr>
          <w:trHeight w:val="322" w:hRule="atLeast"/>
        </w:trPr>
        <w:tc>
          <w:tcPr>
            <w:tcW w:w="657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4.1.</w:t>
            </w:r>
          </w:p>
        </w:tc>
        <w:tc>
          <w:tcPr>
            <w:tcW w:w="2444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both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Общедоступная универсальная библиотека</w:t>
            </w:r>
          </w:p>
        </w:tc>
        <w:tc>
          <w:tcPr>
            <w:tcW w:w="851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ед.</w:t>
            </w:r>
          </w:p>
        </w:tc>
        <w:tc>
          <w:tcPr>
            <w:tcW w:w="2445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themeColor="dark1" w:val="000000"/>
                <w:spacing w:val="0"/>
                <w:kern w:val="0"/>
                <w:sz w:val="24"/>
                <w:szCs w:val="24"/>
                <w:shd w:fill="auto" w:val="clear"/>
              </w:rPr>
              <w:t>1 ед. на 10 тыс. жителей</w:t>
            </w:r>
          </w:p>
        </w:tc>
        <w:tc>
          <w:tcPr>
            <w:tcW w:w="1099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themeColor="dark1" w:val="000000"/>
                <w:spacing w:val="0"/>
                <w:kern w:val="0"/>
                <w:sz w:val="24"/>
                <w:szCs w:val="24"/>
                <w:shd w:fill="auto" w:val="clear"/>
              </w:rPr>
              <w:t>40</w:t>
            </w:r>
          </w:p>
        </w:tc>
        <w:tc>
          <w:tcPr>
            <w:tcW w:w="1196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themeColor="dark1" w:val="000000"/>
                <w:spacing w:val="0"/>
                <w:kern w:val="0"/>
                <w:sz w:val="24"/>
                <w:szCs w:val="24"/>
                <w:shd w:fill="auto" w:val="clear"/>
              </w:rPr>
              <w:t>128,1</w:t>
            </w:r>
          </w:p>
        </w:tc>
        <w:tc>
          <w:tcPr>
            <w:tcW w:w="85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themeColor="dark1" w:val="000000"/>
                <w:spacing w:val="0"/>
                <w:kern w:val="0"/>
                <w:sz w:val="24"/>
                <w:szCs w:val="24"/>
                <w:shd w:fill="auto" w:val="clear"/>
              </w:rPr>
              <w:t>31,2</w:t>
            </w:r>
          </w:p>
        </w:tc>
      </w:tr>
      <w:tr>
        <w:trPr>
          <w:trHeight w:val="322" w:hRule="atLeast"/>
        </w:trPr>
        <w:tc>
          <w:tcPr>
            <w:tcW w:w="657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4.2.</w:t>
            </w:r>
          </w:p>
        </w:tc>
        <w:tc>
          <w:tcPr>
            <w:tcW w:w="2444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both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Учреждения культурно-досугового типа</w:t>
            </w:r>
          </w:p>
        </w:tc>
        <w:tc>
          <w:tcPr>
            <w:tcW w:w="851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contextualSpacing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ед.</w:t>
            </w:r>
          </w:p>
        </w:tc>
        <w:tc>
          <w:tcPr>
            <w:tcW w:w="2445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themeColor="dark1" w:val="000000"/>
                <w:spacing w:val="0"/>
                <w:kern w:val="0"/>
                <w:sz w:val="24"/>
                <w:szCs w:val="24"/>
                <w:shd w:fill="auto" w:val="clear"/>
              </w:rPr>
              <w:t>1 ед. на 200 тыс. жителей городского округа + 1 ед. на каждые 5000 жителей сельских населённых пунктов</w:t>
            </w:r>
          </w:p>
        </w:tc>
        <w:tc>
          <w:tcPr>
            <w:tcW w:w="1099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themeColor="dark1" w:val="000000"/>
                <w:spacing w:val="0"/>
                <w:kern w:val="0"/>
                <w:sz w:val="24"/>
                <w:szCs w:val="24"/>
                <w:shd w:fill="auto" w:val="clear"/>
              </w:rPr>
              <w:t>17</w:t>
            </w:r>
          </w:p>
        </w:tc>
        <w:tc>
          <w:tcPr>
            <w:tcW w:w="1196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27,6</w:t>
            </w:r>
          </w:p>
        </w:tc>
        <w:tc>
          <w:tcPr>
            <w:tcW w:w="85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4"/>
                <w:shd w:fill="auto" w:val="clear"/>
              </w:rPr>
              <w:t>61,7</w:t>
            </w:r>
          </w:p>
        </w:tc>
      </w:tr>
    </w:tbl>
    <w:p>
      <w:pPr>
        <w:pStyle w:val="Normal"/>
        <w:widowControl/>
        <w:tabs>
          <w:tab w:val="clear" w:pos="708"/>
          <w:tab w:val="left" w:pos="1515" w:leader="none"/>
        </w:tabs>
        <w:spacing w:lineRule="auto" w:line="240" w:before="0" w:after="0"/>
        <w:contextualSpacing/>
        <w:rPr>
          <w:rFonts w:ascii="PT Astra Serif" w:hAnsi="PT Astra Serif"/>
          <w:sz w:val="2"/>
          <w:highlight w:val="none"/>
          <w:shd w:fill="auto" w:val="clear"/>
        </w:rPr>
      </w:pPr>
      <w:r>
        <w:rPr>
          <w:rFonts w:ascii="PT Astra Serif" w:hAnsi="PT Astra Serif"/>
          <w:sz w:val="2"/>
          <w:shd w:fill="auto" w:val="clear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567" w:gutter="0" w:header="1134" w:top="1693" w:footer="0" w:bottom="1134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/>
    <w:family w:val="roman"/>
    <w:pitch w:val="default"/>
  </w:font>
  <w:font w:name="XO Thames">
    <w:charset w:val="01"/>
    <w:family w:val="roman"/>
    <w:pitch w:val="default"/>
  </w:font>
  <w:font w:name="Arial Unicode MS">
    <w:charset w:val="01"/>
    <w:family w:val="roman"/>
    <w:pitch w:val="default"/>
  </w:font>
  <w:font w:name="Arial">
    <w:charset w:val="01"/>
    <w:family w:val="swiss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PT Astra Serif" w:hAnsi="PT Astra Serif"/>
        <w:sz w:val="24"/>
        <w:szCs w:val="24"/>
      </w:rPr>
    </w:pPr>
    <w:bookmarkStart w:id="0" w:name="PageNumWizard_HEADER_Базовый1_Копия_1"/>
    <w:r>
      <w:rPr>
        <w:rFonts w:ascii="PT Astra Serif" w:hAnsi="PT Astra Serif"/>
        <w:sz w:val="24"/>
        <w:szCs w:val="24"/>
      </w:rPr>
      <w:fldChar w:fldCharType="begin"/>
    </w:r>
    <w:r>
      <w:rPr>
        <w:sz w:val="24"/>
        <w:szCs w:val="24"/>
        <w:rFonts w:ascii="PT Astra Serif" w:hAnsi="PT Astra Serif"/>
      </w:rPr>
      <w:instrText xml:space="preserve"> PAGE </w:instrText>
    </w:r>
    <w:r>
      <w:rPr>
        <w:sz w:val="24"/>
        <w:szCs w:val="24"/>
        <w:rFonts w:ascii="PT Astra Serif" w:hAnsi="PT Astra Serif"/>
      </w:rPr>
      <w:fldChar w:fldCharType="separate"/>
    </w:r>
    <w:r>
      <w:rPr>
        <w:sz w:val="24"/>
        <w:szCs w:val="24"/>
        <w:rFonts w:ascii="PT Astra Serif" w:hAnsi="PT Astra Serif"/>
      </w:rPr>
      <w:t>2</w:t>
    </w:r>
    <w:r>
      <w:rPr>
        <w:sz w:val="24"/>
        <w:szCs w:val="24"/>
        <w:rFonts w:ascii="PT Astra Serif" w:hAnsi="PT Astra Serif"/>
      </w:rPr>
      <w:fldChar w:fldCharType="end"/>
    </w:r>
    <w:bookmarkEnd w:id="0"/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  <w:bookmarkStart w:id="1" w:name="PageNumWizard_HEADER_Базовый1_Копия_1_Ко"/>
    <w:bookmarkStart w:id="2" w:name="PageNumWizard_HEADER_Базовый1_Копия_1_Ко"/>
    <w:bookmarkEnd w:id="2"/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Noto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start="0" w:end="0"/>
      <w:jc w:val="start"/>
    </w:pPr>
    <w:rPr>
      <w:rFonts w:ascii="Calibri" w:hAnsi="Calibri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start="0" w:end="0"/>
      <w:jc w:val="both"/>
      <w:outlineLvl w:val="0"/>
    </w:pPr>
    <w:rPr>
      <w:rFonts w:ascii="XO Thames" w:hAnsi="XO Thames" w:eastAsia="Tahoma" w:cs="Noto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start="0" w:end="0"/>
      <w:jc w:val="both"/>
      <w:outlineLvl w:val="1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start="0" w:end="0"/>
      <w:jc w:val="both"/>
      <w:outlineLvl w:val="2"/>
    </w:pPr>
    <w:rPr>
      <w:rFonts w:ascii="XO Thames" w:hAnsi="XO Thames" w:eastAsia="Tahoma" w:cs="Noto Sans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start="0" w:end="0"/>
      <w:jc w:val="both"/>
      <w:outlineLvl w:val="3"/>
    </w:pPr>
    <w:rPr>
      <w:rFonts w:ascii="XO Thames" w:hAnsi="XO Thames" w:eastAsia="Tahoma" w:cs="Noto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start="0" w:end="0"/>
      <w:jc w:val="both"/>
      <w:outlineLvl w:val="4"/>
    </w:pPr>
    <w:rPr>
      <w:rFonts w:ascii="XO Thames" w:hAnsi="XO Thames" w:eastAsia="Tahoma" w:cs="Noto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Footer1">
    <w:name w:val="Footer1"/>
    <w:qFormat/>
    <w:rPr/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ListParagraph">
    <w:name w:val="List Paragraph"/>
    <w:link w:val="ListParagraph1"/>
    <w:qFormat/>
    <w:rPr>
      <w:rFonts w:ascii="Arial Unicode MS" w:hAnsi="Arial Unicode MS"/>
      <w:color w:val="000000"/>
      <w:sz w:val="24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DefaultParagraphFont">
    <w:name w:val="Default Paragraph Font"/>
    <w:link w:val="DefaultParagraphFont1"/>
    <w:qFormat/>
    <w:rPr/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link w:val="HeaderandFooter1"/>
    <w:qFormat/>
    <w:rPr>
      <w:rFonts w:ascii="XO Thames" w:hAnsi="XO Thames"/>
      <w:sz w:val="28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sPlusNormal">
    <w:name w:val="ConsPlusNormal"/>
    <w:link w:val="ConsPlusNormal1"/>
    <w:qFormat/>
    <w:rPr>
      <w:rFonts w:ascii="Arial" w:hAnsi="Arial"/>
      <w:sz w:val="20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Header1">
    <w:name w:val="Header1"/>
    <w:qFormat/>
    <w:rPr/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2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6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10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12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1">
    <w:name w:val="Header and Footer1"/>
    <w:link w:val="HeaderandFooter"/>
    <w:qFormat/>
    <w:pPr>
      <w:widowControl/>
      <w:suppressAutoHyphens w:val="true"/>
      <w:bidi w:val="0"/>
      <w:spacing w:lineRule="auto" w:line="240" w:before="0" w:after="160"/>
      <w:ind w:hanging="0" w:start="0" w:end="0"/>
      <w:jc w:val="both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2">
    <w:name w:val="Header and Footer2"/>
    <w:basedOn w:val="Normal"/>
    <w:qFormat/>
    <w:pPr/>
    <w:rPr/>
  </w:style>
  <w:style w:type="paragraph" w:styleId="HeaderandFooter3">
    <w:name w:val="Header and Footer3"/>
    <w:basedOn w:val="Normal"/>
    <w:qFormat/>
    <w:pPr/>
    <w:rPr/>
  </w:style>
  <w:style w:type="paragraph" w:styleId="HeaderandFooter4">
    <w:name w:val="Header and Footer4"/>
    <w:basedOn w:val="Normal"/>
    <w:qFormat/>
    <w:pPr/>
    <w:rPr/>
  </w:style>
  <w:style w:type="paragraph" w:styleId="HeaderandFooter5">
    <w:name w:val="Header and Footer5"/>
    <w:basedOn w:val="Normal"/>
    <w:qFormat/>
    <w:pPr/>
    <w:rPr/>
  </w:style>
  <w:style w:type="paragraph" w:styleId="HeaderandFooter6">
    <w:name w:val="Header and Footer6"/>
    <w:basedOn w:val="Normal"/>
    <w:qFormat/>
    <w:pPr/>
    <w:rPr/>
  </w:style>
  <w:style w:type="paragraph" w:styleId="HeaderandFooter7">
    <w:name w:val="Header and Footer7"/>
    <w:basedOn w:val="Normal"/>
    <w:qFormat/>
    <w:pPr/>
    <w:rPr/>
  </w:style>
  <w:style w:type="paragraph" w:styleId="Footer">
    <w:name w:val="footer"/>
    <w:basedOn w:val="Normal"/>
    <w:pPr>
      <w:widowControl/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64" w:before="0" w:after="160"/>
      <w:ind w:firstLine="851" w:start="0" w:end="0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4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1"/>
    <w:basedOn w:val="Normal"/>
    <w:link w:val="ListParagraph"/>
    <w:qFormat/>
    <w:pPr>
      <w:widowControl/>
      <w:spacing w:lineRule="auto" w:line="240" w:before="0" w:after="0"/>
      <w:ind w:start="720"/>
      <w:contextualSpacing/>
    </w:pPr>
    <w:rPr>
      <w:rFonts w:ascii="Arial Unicode MS" w:hAnsi="Arial Unicode MS"/>
      <w:color w:val="000000"/>
      <w:sz w:val="24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64" w:before="0" w:after="160"/>
      <w:ind w:hanging="0" w:start="0" w:end="0"/>
      <w:jc w:val="start"/>
    </w:pPr>
    <w:rPr>
      <w:rFonts w:ascii="Calibri" w:hAnsi="Calibri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64" w:before="0" w:after="160"/>
      <w:ind w:hanging="0" w:start="0" w:end="0"/>
      <w:jc w:val="start"/>
    </w:pPr>
    <w:rPr>
      <w:rFonts w:ascii="Calibri" w:hAnsi="Calibri" w:eastAsia="Tahoma" w:cs="Noto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 w:start="0" w:end="0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0" w:end="0"/>
      <w:jc w:val="start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16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14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1">
    <w:name w:val="ConsPlusNormal1"/>
    <w:link w:val="ConsPlusNormal"/>
    <w:qFormat/>
    <w:pPr>
      <w:widowControl/>
      <w:suppressAutoHyphens w:val="true"/>
      <w:bidi w:val="0"/>
      <w:spacing w:lineRule="auto" w:line="240" w:before="0" w:after="0"/>
      <w:ind w:hanging="0" w:start="0" w:end="0"/>
      <w:jc w:val="start"/>
    </w:pPr>
    <w:rPr>
      <w:rFonts w:ascii="Arial" w:hAnsi="Arial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8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">
    <w:name w:val="header"/>
    <w:basedOn w:val="Normal"/>
    <w:pPr>
      <w:widowControl/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hanging="0" w:start="0" w:end="0"/>
      <w:jc w:val="both"/>
    </w:pPr>
    <w:rPr>
      <w:rFonts w:ascii="XO Thames" w:hAnsi="XO Thames" w:eastAsia="Tahoma" w:cs="Noto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hanging="0" w:start="0" w:end="0"/>
      <w:jc w:val="center"/>
    </w:pPr>
    <w:rPr>
      <w:rFonts w:ascii="XO Thames" w:hAnsi="XO Thames" w:eastAsia="Tahoma" w:cs="Noto Sans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>
      <w:widowControl/>
      <w:spacing w:lineRule="auto" w:line="240" w:before="0" w:after="0"/>
    </w:pPr>
    <w:rPr>
      <w:rFonts w:ascii="Segoe UI" w:hAnsi="Segoe UI"/>
      <w:sz w:val="18"/>
    </w:rPr>
  </w:style>
  <w:style w:type="table" w:default="1" w:styleId="Style_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LibreOffice/24.8.4.2$Linux_X86_64 LibreOffice_project/480$Build-2</Application>
  <AppVersion>15.0000</AppVersion>
  <Pages>2</Pages>
  <Words>194</Words>
  <Characters>1241</Characters>
  <CharactersWithSpaces>1366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2021-08-31T05:57:00Z</dcterms:created>
  <dc:creator/>
  <dc:description/>
  <dc:language>ru-RU</dc:language>
  <cp:lastModifiedBy/>
  <dcterms:modified xsi:type="dcterms:W3CDTF">2025-08-04T10:12:14Z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